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DB" w:rsidRDefault="00B563DB" w:rsidP="00B563D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Linh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Bao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 xml:space="preserve"> Ton</w:t>
      </w:r>
      <w:bookmarkStart w:id="0" w:name="_GoBack"/>
      <w:bookmarkEnd w:id="0"/>
    </w:p>
    <w:p w:rsidR="00B563DB" w:rsidRPr="00B563DB" w:rsidRDefault="00B563DB" w:rsidP="00B563D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B563DB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Biography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Linh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obtained a Bachelor degree in Biotechnology at Nong Lam University,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Ho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Chi Minh City, Viet Nam and Master's degree in Applied Science at RMIT University, Australia. She conducted research on plant tissue culture and plant transformation, isolation and characterization of </w:t>
      </w:r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Bacillus 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thuringiensis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 and identification of plant pathogens such as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phytoplasmas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. Since 2019, she have joined Batley’s Lab and started her PhD project with Professor Jacqueline Batley.</w:t>
      </w:r>
    </w:p>
    <w:p w:rsidR="00B563DB" w:rsidRPr="00B563DB" w:rsidRDefault="00B563DB" w:rsidP="00B563D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B563DB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Research Interests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Gene technology, genomics, plant-pathogen interactions</w:t>
      </w:r>
    </w:p>
    <w:p w:rsidR="00B563DB" w:rsidRPr="00B563DB" w:rsidRDefault="00B563DB" w:rsidP="00B563D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B563DB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Current Projects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Turnip mosaic virus (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TuMV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), a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potyvirus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 is known to cause significant economic loss in vegetable crops, primarily in the 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Brassicaceae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 family. This virus is transmitted into Brassica plants in a non-persistent manner by over 89 aphid species, which limit the effectiveness of chemical control and general treatments. The viral proteins, such as P1 and HC-Pro (helper component protein), are the main factors for the multiplication and spread of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TuMV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in host plants via suppression of the plant RNA silencing pathway. Within this research, the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TuMV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in symptomatic canola plants and other Brassica plants will be isolated,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pathotyped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 and confirmed by PCR, from which P1 and HC-pro genes will be cloned and utilized in the development of genetic modification system for </w:t>
      </w:r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B. 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napus</w:t>
      </w:r>
      <w:proofErr w:type="spellEnd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.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 As a novel tool of genome editing, the CRISP/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Cas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system (type II clustered regularly interspaced short palindromic repeats/associated protein system), will be designed to introduce </w:t>
      </w:r>
      <w:proofErr w:type="spellStart"/>
      <w:proofErr w:type="gram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Cas</w:t>
      </w:r>
      <w:proofErr w:type="spellEnd"/>
      <w:proofErr w:type="gram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gene, P1 and HC-Pro gene segments into </w:t>
      </w:r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Brassica 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napus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 genome. The successfully modified canola lines will be a valuable resource for breeding their resistance against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TuMV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.</w:t>
      </w:r>
    </w:p>
    <w:p w:rsidR="00B563DB" w:rsidRPr="00B563DB" w:rsidRDefault="00B563DB" w:rsidP="00B563D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B563DB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Publications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Ton LB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Neik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TX, Batley J. The Use of Genetic and Gene Technologies in Shaping Modern Rapeseed Cultivars (Brassica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napus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L.). Genes. 2020; 11(10):1161. </w:t>
      </w:r>
      <w:hyperlink r:id="rId4" w:history="1">
        <w:r w:rsidRPr="00B563DB">
          <w:rPr>
            <w:rFonts w:ascii="Arial" w:eastAsia="Times New Roman" w:hAnsi="Arial" w:cs="Arial"/>
            <w:color w:val="3366BB"/>
            <w:sz w:val="21"/>
            <w:szCs w:val="21"/>
            <w:u w:val="single"/>
            <w:lang w:eastAsia="en-AU"/>
          </w:rPr>
          <w:t>https://doi.org/10.3390/genes11101161</w:t>
        </w:r>
      </w:hyperlink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Truong, H. P. T., Duong, H. K., </w:t>
      </w:r>
      <w:r w:rsidRPr="00B563DB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Ton, L. B.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 Le, D. D., Tran, N. T. H., Dang, T. T., and Huynh, L. N. C. (2019). Determination of </w:t>
      </w:r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cry2A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 genes in </w:t>
      </w:r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Bacillus 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thuringiensis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 isolated from southern provinces of Viet Nam. The Journal of Agriculture and Development 18(1), 109-116.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Nguyen, P. V., Nguyen, L. T. N., Tran, T. B. and </w:t>
      </w:r>
      <w:r w:rsidRPr="00B563DB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Ton, L. B.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 (2019). Construction of artificial microRNA expression vectors for inhibition of </w:t>
      </w:r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Minc16281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 gene in root-knot nematode 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Meloidogyne</w:t>
      </w:r>
      <w:proofErr w:type="spellEnd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 incognita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. The Journal of Agriculture and Development 18(4), 62-69.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Nguyen, P. V., </w:t>
      </w:r>
      <w:r w:rsidRPr="00B563DB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Ton, L. B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Ngo</w:t>
      </w:r>
      <w:proofErr w:type="gram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,T.T.T</w:t>
      </w:r>
      <w:proofErr w:type="spellEnd"/>
      <w:proofErr w:type="gram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., Le, V.X. (2018). Determination of some conditions for hairy root induction in soybean by </w:t>
      </w:r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Agrobacterium 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rhizogenes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. Journal of Agricultural and Development 4: 114 – 121.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Ton, L. B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 Phan, H. T.T, Le, T.T.H, Nguyen, P.V., Ton, A.T., and Le, D.D. (2018). Isolation, identification, and toxicity of native </w:t>
      </w:r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Bacillus 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thuringiensis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 against 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Spodoptera</w:t>
      </w:r>
      <w:proofErr w:type="spellEnd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 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litura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.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Agrica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7: 66-73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Ton, A.T., </w:t>
      </w:r>
      <w:r w:rsidRPr="00B563DB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Ton, L. B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., Nguyen, P.V., Bien, T.L.T., To, T.T.N., and Le, D.D. (2018). Expression of proteins related to </w:t>
      </w:r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Phytophthora 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capsici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 tolerance in black pepper (</w:t>
      </w:r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Piper 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nigrum</w:t>
      </w:r>
      <w:proofErr w:type="spellEnd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 L.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). International Journal of Agriculture Innovations and Research 6(4): 75-79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lastRenderedPageBreak/>
        <w:t>Ton, A.T., </w:t>
      </w:r>
      <w:r w:rsidRPr="00B563DB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Ton, L. B.,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 and Le, D.D. (2015). Evaluation of black pepper for resistance to </w:t>
      </w:r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Phytophthora 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capsici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. Proceedings of National conference on Plant protection held at Nong Lam University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Ho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Chi Minh city on November 6th 2015, pg. 231 – 238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Phan</w:t>
      </w:r>
      <w:proofErr w:type="gram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,H.T</w:t>
      </w:r>
      <w:proofErr w:type="spellEnd"/>
      <w:proofErr w:type="gram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., Ngo, T.T. and </w:t>
      </w:r>
      <w:r w:rsidRPr="00B563DB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Ton, L. B.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 (2014). Application of temporary immersion system in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micropropagation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of sugarcane (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Saccharum</w:t>
      </w:r>
      <w:proofErr w:type="spellEnd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 </w:t>
      </w:r>
      <w:proofErr w:type="spellStart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officinarum</w:t>
      </w:r>
      <w:proofErr w:type="spellEnd"/>
      <w:r w:rsidRPr="00B563DB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 L.</w:t>
      </w: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). Journal of Agricultural Science and Technology (2): 29-34</w:t>
      </w:r>
    </w:p>
    <w:p w:rsidR="00B563DB" w:rsidRPr="00B563DB" w:rsidRDefault="00B563DB" w:rsidP="00B563D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B563DB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Contact Details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Linh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</w:t>
      </w:r>
      <w:proofErr w:type="spellStart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Bao</w:t>
      </w:r>
      <w:proofErr w:type="spellEnd"/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Ton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Room 1.122, School of Biological Sciences, Faculty of Science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The University of Western Australia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Crawley, WA 6009, Perth, Australia</w:t>
      </w:r>
    </w:p>
    <w:p w:rsidR="00B563DB" w:rsidRPr="00B563DB" w:rsidRDefault="00B563DB" w:rsidP="00B563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B563DB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Email: linh.ton@research.uwa.edu.au</w:t>
      </w:r>
    </w:p>
    <w:p w:rsidR="002E225B" w:rsidRDefault="002E225B"/>
    <w:sectPr w:rsidR="002E2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DB"/>
    <w:rsid w:val="002E225B"/>
    <w:rsid w:val="00B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F267"/>
  <w15:chartTrackingRefBased/>
  <w15:docId w15:val="{2DF7EDF3-405A-4BC6-8A65-88DC9DF9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6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63D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mw-headline">
    <w:name w:val="mw-headline"/>
    <w:basedOn w:val="DefaultParagraphFont"/>
    <w:rsid w:val="00B563DB"/>
  </w:style>
  <w:style w:type="paragraph" w:styleId="NormalWeb">
    <w:name w:val="Normal (Web)"/>
    <w:basedOn w:val="Normal"/>
    <w:uiPriority w:val="99"/>
    <w:semiHidden/>
    <w:unhideWhenUsed/>
    <w:rsid w:val="00B5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5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390/genes11101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2022-01-28T01:54:00Z</dcterms:created>
  <dcterms:modified xsi:type="dcterms:W3CDTF">2022-01-28T01:54:00Z</dcterms:modified>
</cp:coreProperties>
</file>